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1F29" w14:textId="47959BAE" w:rsidR="003E2DCB" w:rsidRPr="007D442A" w:rsidRDefault="00B0277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Kontingent 20</w:t>
      </w:r>
      <w:r w:rsidR="00701EDA">
        <w:rPr>
          <w:b/>
          <w:sz w:val="24"/>
          <w:szCs w:val="24"/>
        </w:rPr>
        <w:t>2</w:t>
      </w:r>
      <w:r w:rsidR="008D0222">
        <w:rPr>
          <w:b/>
          <w:sz w:val="24"/>
          <w:szCs w:val="24"/>
        </w:rPr>
        <w:t>2</w:t>
      </w:r>
    </w:p>
    <w:p w14:paraId="6EDB6326" w14:textId="77777777" w:rsidR="00E630BF" w:rsidRDefault="00E630BF"/>
    <w:p w14:paraId="7177A15D" w14:textId="3C914DD7" w:rsidR="00C37404" w:rsidRDefault="00A171FB">
      <w:r>
        <w:t>S</w:t>
      </w:r>
      <w:r w:rsidR="007D442A" w:rsidRPr="001E5EBA">
        <w:t>taten</w:t>
      </w:r>
      <w:r w:rsidR="007D442A">
        <w:t xml:space="preserve"> har </w:t>
      </w:r>
      <w:r w:rsidR="00F571DF">
        <w:t xml:space="preserve">hævet efterlønsbidraget med </w:t>
      </w:r>
      <w:r w:rsidR="00E65D8F">
        <w:t>1</w:t>
      </w:r>
      <w:r w:rsidR="00F571DF">
        <w:t xml:space="preserve"> kr. pr. måned</w:t>
      </w:r>
      <w:r w:rsidR="00834A88">
        <w:t>. Forbundet har hævet forbundskontingentet m</w:t>
      </w:r>
      <w:r w:rsidR="007139BC">
        <w:t xml:space="preserve">ed </w:t>
      </w:r>
      <w:r w:rsidR="00B84B2A">
        <w:t>2</w:t>
      </w:r>
      <w:r w:rsidR="007139BC">
        <w:t xml:space="preserve"> kr. pr. måned</w:t>
      </w:r>
      <w:r w:rsidR="008B7316">
        <w:t xml:space="preserve"> </w:t>
      </w:r>
    </w:p>
    <w:p w14:paraId="157650AB" w14:textId="77777777" w:rsidR="00C7700E" w:rsidRDefault="00C7700E"/>
    <w:p w14:paraId="3384E571" w14:textId="61CA1059" w:rsidR="006461CB" w:rsidRDefault="00B05787" w:rsidP="006461CB">
      <w:r>
        <w:t>I forbindelse med vedtagelsen af budgettet for 20</w:t>
      </w:r>
      <w:r w:rsidR="006D2DFA">
        <w:t>2</w:t>
      </w:r>
      <w:r w:rsidR="00E65D8F">
        <w:t>2</w:t>
      </w:r>
      <w:r w:rsidR="00E426EB">
        <w:t>,</w:t>
      </w:r>
      <w:r w:rsidR="00E426EB" w:rsidRPr="00E426EB">
        <w:t xml:space="preserve"> </w:t>
      </w:r>
      <w:r w:rsidR="00E426EB">
        <w:t>besluttede</w:t>
      </w:r>
      <w:r>
        <w:t xml:space="preserve"> afdelingsbestyrelsen</w:t>
      </w:r>
      <w:r w:rsidR="00E426EB">
        <w:t>,</w:t>
      </w:r>
      <w:r>
        <w:t xml:space="preserve"> </w:t>
      </w:r>
      <w:r w:rsidR="00C7700E">
        <w:t>den 2</w:t>
      </w:r>
      <w:r w:rsidR="00E65D8F">
        <w:t>4</w:t>
      </w:r>
      <w:r w:rsidR="00C7700E">
        <w:t>. november 20</w:t>
      </w:r>
      <w:r w:rsidR="007D1408">
        <w:t>2</w:t>
      </w:r>
      <w:r w:rsidR="00E65D8F">
        <w:t>1</w:t>
      </w:r>
      <w:r w:rsidR="00C7700E">
        <w:t xml:space="preserve">, </w:t>
      </w:r>
      <w:r w:rsidR="006461CB">
        <w:t xml:space="preserve">at det var nødvendigt at hæve afdelingskontingentet med </w:t>
      </w:r>
      <w:r w:rsidR="00E65D8F">
        <w:t>8</w:t>
      </w:r>
      <w:r w:rsidR="006461CB">
        <w:t xml:space="preserve"> kr. pr. måned i 202</w:t>
      </w:r>
      <w:r w:rsidR="00E65D8F">
        <w:t>2</w:t>
      </w:r>
      <w:r w:rsidR="006461CB">
        <w:t xml:space="preserve">, på grund af medlemsudviklingen samt generelle prisstigninger. </w:t>
      </w:r>
    </w:p>
    <w:p w14:paraId="0C146DB9" w14:textId="7C430E34" w:rsidR="00E426EB" w:rsidRDefault="00E426EB"/>
    <w:p w14:paraId="06C201CA" w14:textId="06A1F48A" w:rsidR="00E630BF" w:rsidRDefault="00B05787">
      <w:r>
        <w:t>Ovenstående stigninger medfører</w:t>
      </w:r>
      <w:r w:rsidR="00E80732">
        <w:t>,</w:t>
      </w:r>
      <w:r>
        <w:t xml:space="preserve"> at </w:t>
      </w:r>
      <w:r w:rsidR="00E630BF">
        <w:t xml:space="preserve">dine kontingentkroner </w:t>
      </w:r>
      <w:r>
        <w:t xml:space="preserve">kommer til at fordele sig sådan i </w:t>
      </w:r>
      <w:r w:rsidR="00E630BF">
        <w:t>20</w:t>
      </w:r>
      <w:r w:rsidR="006461CB">
        <w:t>2</w:t>
      </w:r>
      <w:r w:rsidR="00E65D8F">
        <w:t>2</w:t>
      </w:r>
      <w:r w:rsidR="00E630BF">
        <w:t>.</w:t>
      </w:r>
    </w:p>
    <w:p w14:paraId="33B9E81A" w14:textId="7E09EDCE" w:rsidR="007D1408" w:rsidRDefault="007D1408" w:rsidP="00F96DD8">
      <w:pPr>
        <w:jc w:val="center"/>
        <w:rPr>
          <w:noProof/>
          <w:lang w:eastAsia="da-DK"/>
        </w:rPr>
      </w:pPr>
    </w:p>
    <w:p w14:paraId="5DF4F929" w14:textId="1A078784" w:rsidR="007D1408" w:rsidRDefault="007D1408" w:rsidP="00F96DD8">
      <w:pPr>
        <w:jc w:val="center"/>
        <w:rPr>
          <w:noProof/>
          <w:lang w:eastAsia="da-DK"/>
        </w:rPr>
      </w:pPr>
    </w:p>
    <w:p w14:paraId="2DE6A2D4" w14:textId="77F09544" w:rsidR="007D1408" w:rsidRDefault="007D1408" w:rsidP="00F96DD8">
      <w:pPr>
        <w:jc w:val="center"/>
        <w:rPr>
          <w:noProof/>
          <w:lang w:eastAsia="da-DK"/>
        </w:rPr>
      </w:pPr>
      <w:r>
        <w:rPr>
          <w:noProof/>
        </w:rPr>
        <w:drawing>
          <wp:inline distT="0" distB="0" distL="0" distR="0" wp14:anchorId="639B3787" wp14:editId="6E3D2F18">
            <wp:extent cx="4967288" cy="2747962"/>
            <wp:effectExtent l="0" t="0" r="508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767DD341-2E5B-4660-8C2D-07C32A004D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56413CD" w14:textId="2B588899" w:rsidR="007D1408" w:rsidRDefault="007D1408" w:rsidP="00F96DD8">
      <w:pPr>
        <w:jc w:val="center"/>
        <w:rPr>
          <w:noProof/>
          <w:lang w:eastAsia="da-DK"/>
        </w:rPr>
      </w:pPr>
    </w:p>
    <w:p w14:paraId="2F22F7FB" w14:textId="77777777" w:rsidR="007D1408" w:rsidRDefault="007D1408" w:rsidP="00B02778">
      <w:pPr>
        <w:rPr>
          <w:i/>
          <w:sz w:val="18"/>
          <w:szCs w:val="18"/>
        </w:rPr>
      </w:pPr>
    </w:p>
    <w:p w14:paraId="24A0B3F7" w14:textId="4DCF920E" w:rsidR="00E630BF" w:rsidRPr="00B05787" w:rsidRDefault="00E630BF" w:rsidP="00B02778">
      <w:pPr>
        <w:rPr>
          <w:i/>
          <w:sz w:val="18"/>
          <w:szCs w:val="18"/>
        </w:rPr>
      </w:pPr>
      <w:r w:rsidRPr="00B05787">
        <w:rPr>
          <w:i/>
          <w:sz w:val="18"/>
          <w:szCs w:val="18"/>
        </w:rPr>
        <w:t>Ovenstående diagram er gældende for fuldtidsforsikrede medlemmer som betaler til forbundet, a-kassen og efterlønsordningen.</w:t>
      </w:r>
    </w:p>
    <w:p w14:paraId="4424C579" w14:textId="77777777" w:rsidR="001E5EBA" w:rsidRDefault="00E630BF">
      <w:r>
        <w:t xml:space="preserve"> </w:t>
      </w:r>
    </w:p>
    <w:p w14:paraId="51B89C61" w14:textId="77777777" w:rsidR="00A73A79" w:rsidRDefault="00A73A79"/>
    <w:p w14:paraId="325424E2" w14:textId="77777777" w:rsidR="00B05787" w:rsidRDefault="00B05787">
      <w:r>
        <w:t>I denne oversigt er vist de mest almindelige kontingentsatser.</w:t>
      </w:r>
    </w:p>
    <w:p w14:paraId="6117BE4D" w14:textId="77777777" w:rsidR="0038437C" w:rsidRDefault="0038437C"/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080"/>
        <w:gridCol w:w="780"/>
        <w:gridCol w:w="1400"/>
        <w:gridCol w:w="1400"/>
        <w:gridCol w:w="1400"/>
        <w:gridCol w:w="1400"/>
      </w:tblGrid>
      <w:tr w:rsidR="00A40512" w:rsidRPr="00A40512" w14:paraId="344D54C0" w14:textId="77777777" w:rsidTr="00A40512">
        <w:trPr>
          <w:trHeight w:val="315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30B0EE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Kontingentnavn: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0050DB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2ADCD1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66100B" w14:textId="7777777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Forbund/Stat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827933" w14:textId="7777777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Afdeling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704F19" w14:textId="7777777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I alt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976D6B" w14:textId="7777777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m/FUFO</w:t>
            </w:r>
          </w:p>
        </w:tc>
      </w:tr>
      <w:tr w:rsidR="00A40512" w:rsidRPr="00A40512" w14:paraId="1F4A0EAB" w14:textId="77777777" w:rsidTr="00A40512">
        <w:trPr>
          <w:trHeight w:val="315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90A0B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Forbund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2F5A0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5ECB8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71067" w14:textId="6C096B64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23</w:t>
            </w:r>
            <w:r w:rsidR="00E65D8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D3D25" w14:textId="319DBA6E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2</w:t>
            </w:r>
            <w:r w:rsidR="00E65D8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21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FACDB" w14:textId="79C90C9B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4</w:t>
            </w:r>
            <w:r w:rsidR="00E65D8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5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6FD24" w14:textId="56F84438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4</w:t>
            </w:r>
            <w:r w:rsidR="00E65D8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9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6</w:t>
            </w:r>
          </w:p>
        </w:tc>
      </w:tr>
      <w:tr w:rsidR="00A40512" w:rsidRPr="00A40512" w14:paraId="775D45D4" w14:textId="77777777" w:rsidTr="00A40512">
        <w:trPr>
          <w:trHeight w:val="315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217F9F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Forbund og A-kasse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29FE3B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0B06DB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12EF34" w14:textId="102EF468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66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5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6F6A3E" w14:textId="4615989E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3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17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4BA9E2" w14:textId="43521BAD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9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8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C12960" w14:textId="5A0CBB54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.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2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</w:p>
        </w:tc>
      </w:tr>
      <w:tr w:rsidR="00A40512" w:rsidRPr="00A40512" w14:paraId="11C06C75" w14:textId="77777777" w:rsidTr="00A40512">
        <w:trPr>
          <w:trHeight w:val="315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CBCE4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Forbund, A-kasse og Efterløn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75FCE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327AB" w14:textId="5CC60C89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1.18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5B00D" w14:textId="5ADF5B13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3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17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FAFF8" w14:textId="3C68D868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.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503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EC7B6" w14:textId="39758FAA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1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.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5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41</w:t>
            </w:r>
          </w:p>
        </w:tc>
      </w:tr>
      <w:tr w:rsidR="00A40512" w:rsidRPr="00A40512" w14:paraId="33BBB477" w14:textId="77777777" w:rsidTr="00A40512">
        <w:trPr>
          <w:trHeight w:val="31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0D8817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Førtidspension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2AAE0E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63FE70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250718" w14:textId="3CAD7958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5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7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8E1FF4" w14:textId="4DCDE4E4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6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9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,50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6C8D43" w14:textId="15F964D1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12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6,50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7410F7" w14:textId="08F2F061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16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4,50</w:t>
            </w:r>
          </w:p>
        </w:tc>
      </w:tr>
      <w:tr w:rsidR="00A40512" w:rsidRPr="00A40512" w14:paraId="278D5D0D" w14:textId="77777777" w:rsidTr="00A40512">
        <w:trPr>
          <w:trHeight w:val="315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06FFD0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Lærling med bidragsfri A-kasse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90AC72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34821C" w14:textId="7777777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32,50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7026D7" w14:textId="7777777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32,50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EE890" w14:textId="7777777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65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CA9DC" w14:textId="7777777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103</w:t>
            </w:r>
          </w:p>
        </w:tc>
      </w:tr>
      <w:tr w:rsidR="00A40512" w:rsidRPr="00A40512" w14:paraId="5081F079" w14:textId="77777777" w:rsidTr="00A40512">
        <w:trPr>
          <w:trHeight w:val="315"/>
        </w:trPr>
        <w:tc>
          <w:tcPr>
            <w:tcW w:w="5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5378693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Voksenlærling med bidragsfri A-kasse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32A0D9" w14:textId="716A9412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23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7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5190F5" w14:textId="609E011E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2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21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32BEAC" w14:textId="47996B14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4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5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C9CB1D" w14:textId="1B880975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4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9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6</w:t>
            </w:r>
          </w:p>
        </w:tc>
      </w:tr>
      <w:tr w:rsidR="00A40512" w:rsidRPr="00A40512" w14:paraId="3E8898C4" w14:textId="77777777" w:rsidTr="00A40512">
        <w:trPr>
          <w:trHeight w:val="315"/>
        </w:trPr>
        <w:tc>
          <w:tcPr>
            <w:tcW w:w="5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F3431A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Voksenlærling med bidragsfri A-kasse og efterløn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61FA90" w14:textId="35610EFC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75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8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D6300B" w14:textId="48326E79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2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21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DE5A5" w14:textId="6686B902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9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79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FC800" w14:textId="0762199A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.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17</w:t>
            </w:r>
          </w:p>
        </w:tc>
      </w:tr>
      <w:tr w:rsidR="00A40512" w:rsidRPr="00A40512" w14:paraId="18271582" w14:textId="77777777" w:rsidTr="00A40512">
        <w:trPr>
          <w:trHeight w:val="315"/>
        </w:trPr>
        <w:tc>
          <w:tcPr>
            <w:tcW w:w="5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9597F35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Efterlønnere med el. bevis (I arbejde)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71CC3A" w14:textId="26D8E4A2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66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5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B49AD9" w14:textId="3ECC0F00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3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17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A53F23" w14:textId="5625D451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9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82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74066B" w14:textId="66AB36F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.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  <w:r w:rsidR="00D3579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2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</w:p>
        </w:tc>
      </w:tr>
      <w:tr w:rsidR="00A40512" w:rsidRPr="00A40512" w14:paraId="40F873C6" w14:textId="77777777" w:rsidTr="00A40512">
        <w:trPr>
          <w:trHeight w:val="315"/>
        </w:trPr>
        <w:tc>
          <w:tcPr>
            <w:tcW w:w="5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70DF83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Nedsat kontingent med A-kasse (Kontanthjælp)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3B82C6" w14:textId="7777777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485,00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14CC21" w14:textId="7777777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148,50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804E6" w14:textId="6AC3C522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633,5</w:t>
            </w:r>
            <w:r w:rsidR="00AC61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0CF96" w14:textId="71F94646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671,5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</w:p>
        </w:tc>
      </w:tr>
      <w:tr w:rsidR="00A40512" w:rsidRPr="00A40512" w14:paraId="723D59F1" w14:textId="77777777" w:rsidTr="00A40512">
        <w:trPr>
          <w:trHeight w:val="31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7E5B4F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Pensionist medlemmer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819A27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038356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D26AC8" w14:textId="2ACA2BFD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24,</w:t>
            </w:r>
            <w:r w:rsidR="00AC61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5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577444" w14:textId="712D3DC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3</w:t>
            </w:r>
            <w:r w:rsidR="00AC61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4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14270E" w14:textId="37804250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5</w:t>
            </w:r>
            <w:r w:rsidR="00AC61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8,50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2AE919" w14:textId="38FB1DCC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9</w:t>
            </w:r>
            <w:r w:rsidR="00AC61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6,50</w:t>
            </w:r>
          </w:p>
        </w:tc>
      </w:tr>
      <w:tr w:rsidR="00A40512" w:rsidRPr="00A40512" w14:paraId="1324019F" w14:textId="77777777" w:rsidTr="00A40512">
        <w:trPr>
          <w:trHeight w:val="31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B073A7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 xml:space="preserve">Efterlønnere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51A64F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65F9F8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336DB1" w14:textId="2FB3E83A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510,</w:t>
            </w:r>
            <w:r w:rsidR="00AC61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5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040DE5" w14:textId="023ECF60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22</w:t>
            </w:r>
            <w:r w:rsidR="00AC61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9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,50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95E7EC" w14:textId="60324726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7</w:t>
            </w:r>
            <w:r w:rsidR="00AC61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40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</w:t>
            </w:r>
            <w:r w:rsidR="00AC61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F51DA" w14:textId="6CAAAD35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77</w:t>
            </w:r>
            <w:r w:rsidR="00AC61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8</w:t>
            </w: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,</w:t>
            </w:r>
            <w:r w:rsidR="00AC61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0</w:t>
            </w:r>
          </w:p>
        </w:tc>
      </w:tr>
      <w:tr w:rsidR="00A40512" w:rsidRPr="00A40512" w14:paraId="53794A08" w14:textId="77777777" w:rsidTr="00A40512">
        <w:trPr>
          <w:trHeight w:val="2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FA0A" w14:textId="7777777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4433" w14:textId="77777777" w:rsidR="00A40512" w:rsidRPr="00A40512" w:rsidRDefault="00A40512" w:rsidP="00A4051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27F3" w14:textId="77777777" w:rsidR="00A40512" w:rsidRPr="00A40512" w:rsidRDefault="00A40512" w:rsidP="00A4051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83CC" w14:textId="77777777" w:rsidR="00A40512" w:rsidRPr="00A40512" w:rsidRDefault="00A40512" w:rsidP="00A4051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FFE1" w14:textId="77777777" w:rsidR="00A40512" w:rsidRPr="00A40512" w:rsidRDefault="00A40512" w:rsidP="00A4051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1B41" w14:textId="77777777" w:rsidR="00A40512" w:rsidRPr="00A40512" w:rsidRDefault="00A40512" w:rsidP="00A4051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4F26" w14:textId="77777777" w:rsidR="00A40512" w:rsidRPr="00A40512" w:rsidRDefault="00A40512" w:rsidP="00A4051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A40512" w:rsidRPr="00A40512" w14:paraId="5620A69B" w14:textId="77777777" w:rsidTr="00A40512">
        <w:trPr>
          <w:trHeight w:val="315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19FE07" w14:textId="77777777" w:rsidR="00A40512" w:rsidRPr="00A40512" w:rsidRDefault="00A40512" w:rsidP="00A405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Fritidsulykkesforsikring (FUFO)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334CAD" w14:textId="7777777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A4051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65AE" w14:textId="77777777" w:rsidR="00A40512" w:rsidRPr="00A40512" w:rsidRDefault="00A40512" w:rsidP="00A405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C670" w14:textId="77777777" w:rsidR="00A40512" w:rsidRPr="00A40512" w:rsidRDefault="00A40512" w:rsidP="00A4051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84D7" w14:textId="77777777" w:rsidR="00A40512" w:rsidRPr="00A40512" w:rsidRDefault="00A40512" w:rsidP="00A4051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F0E4" w14:textId="77777777" w:rsidR="00A40512" w:rsidRPr="00A40512" w:rsidRDefault="00A40512" w:rsidP="00A4051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2AED" w14:textId="77777777" w:rsidR="00A40512" w:rsidRPr="00A40512" w:rsidRDefault="00A40512" w:rsidP="00A4051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A40512" w:rsidRPr="00A40512" w14:paraId="7C6B7A3F" w14:textId="77777777" w:rsidTr="00A40512">
        <w:trPr>
          <w:trHeight w:val="255"/>
        </w:trPr>
        <w:tc>
          <w:tcPr>
            <w:tcW w:w="4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605A" w14:textId="77777777" w:rsidR="00A40512" w:rsidRPr="00A40512" w:rsidRDefault="00A40512" w:rsidP="00A40512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</w:pPr>
            <w:r w:rsidRPr="00A4051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>Der tages forbehold for trykfejl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2094" w14:textId="77777777" w:rsidR="00A40512" w:rsidRPr="00A40512" w:rsidRDefault="00A40512" w:rsidP="00A40512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BD56" w14:textId="77777777" w:rsidR="00A40512" w:rsidRPr="00A40512" w:rsidRDefault="00A40512" w:rsidP="00A4051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517A" w14:textId="77777777" w:rsidR="00A40512" w:rsidRPr="00A40512" w:rsidRDefault="00A40512" w:rsidP="00A4051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88DD" w14:textId="77777777" w:rsidR="00A40512" w:rsidRPr="00A40512" w:rsidRDefault="00A40512" w:rsidP="00A4051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746E" w14:textId="77777777" w:rsidR="00A40512" w:rsidRPr="00A40512" w:rsidRDefault="00A40512" w:rsidP="00A4051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</w:tbl>
    <w:p w14:paraId="0C7722BB" w14:textId="77777777" w:rsidR="0038437C" w:rsidRDefault="0038437C"/>
    <w:p w14:paraId="517C216C" w14:textId="77777777" w:rsidR="0046734B" w:rsidRDefault="0046734B"/>
    <w:p w14:paraId="09B9952E" w14:textId="77777777" w:rsidR="007D1408" w:rsidRDefault="007D1408">
      <w:pPr>
        <w:rPr>
          <w:b/>
          <w:sz w:val="22"/>
        </w:rPr>
      </w:pPr>
      <w:r>
        <w:rPr>
          <w:b/>
          <w:sz w:val="22"/>
        </w:rPr>
        <w:br w:type="page"/>
      </w:r>
    </w:p>
    <w:p w14:paraId="221AFCA2" w14:textId="76CA857F" w:rsidR="0046734B" w:rsidRPr="00E33D48" w:rsidRDefault="00B347B2">
      <w:pPr>
        <w:rPr>
          <w:b/>
          <w:sz w:val="22"/>
        </w:rPr>
      </w:pPr>
      <w:r w:rsidRPr="00E33D48">
        <w:rPr>
          <w:b/>
          <w:sz w:val="22"/>
        </w:rPr>
        <w:lastRenderedPageBreak/>
        <w:t>Skattefradrag</w:t>
      </w:r>
      <w:r w:rsidR="007D4ECC" w:rsidRPr="00E33D48">
        <w:rPr>
          <w:b/>
          <w:sz w:val="22"/>
        </w:rPr>
        <w:t xml:space="preserve"> 202</w:t>
      </w:r>
      <w:r w:rsidR="00AC619C">
        <w:rPr>
          <w:b/>
          <w:sz w:val="22"/>
        </w:rPr>
        <w:t>2</w:t>
      </w:r>
    </w:p>
    <w:p w14:paraId="005AA8E0" w14:textId="77777777" w:rsidR="0046734B" w:rsidRPr="00AC51C9" w:rsidRDefault="0046734B">
      <w:pPr>
        <w:rPr>
          <w:szCs w:val="20"/>
        </w:rPr>
      </w:pPr>
    </w:p>
    <w:p w14:paraId="310D3A92" w14:textId="3C79FBB3" w:rsidR="00AC6CD9" w:rsidRPr="00AC51C9" w:rsidRDefault="00CE4437">
      <w:pPr>
        <w:rPr>
          <w:szCs w:val="20"/>
        </w:rPr>
      </w:pPr>
      <w:r w:rsidRPr="00AC51C9">
        <w:rPr>
          <w:szCs w:val="20"/>
        </w:rPr>
        <w:t>Finansloven</w:t>
      </w:r>
      <w:r w:rsidR="00AC6CD9" w:rsidRPr="00AC51C9">
        <w:rPr>
          <w:szCs w:val="20"/>
        </w:rPr>
        <w:t xml:space="preserve"> for 2015 indeholdt </w:t>
      </w:r>
      <w:r w:rsidR="00DF43A1" w:rsidRPr="00AC51C9">
        <w:rPr>
          <w:szCs w:val="20"/>
        </w:rPr>
        <w:t>bl.a.</w:t>
      </w:r>
      <w:r w:rsidR="00AC6CD9" w:rsidRPr="00AC51C9">
        <w:rPr>
          <w:szCs w:val="20"/>
        </w:rPr>
        <w:t xml:space="preserve"> en regulering af det ligningsmæssige</w:t>
      </w:r>
      <w:r w:rsidR="00DF43A1" w:rsidRPr="00AC51C9">
        <w:rPr>
          <w:szCs w:val="20"/>
        </w:rPr>
        <w:t xml:space="preserve"> </w:t>
      </w:r>
      <w:r w:rsidR="00AC6CD9" w:rsidRPr="00AC51C9">
        <w:rPr>
          <w:szCs w:val="20"/>
        </w:rPr>
        <w:t xml:space="preserve">fradrag </w:t>
      </w:r>
      <w:r w:rsidR="00DF43A1" w:rsidRPr="00AC51C9">
        <w:rPr>
          <w:szCs w:val="20"/>
        </w:rPr>
        <w:t>for</w:t>
      </w:r>
      <w:r w:rsidR="00AC6CD9" w:rsidRPr="00AC51C9">
        <w:rPr>
          <w:szCs w:val="20"/>
        </w:rPr>
        <w:t xml:space="preserve"> </w:t>
      </w:r>
      <w:r w:rsidRPr="00AC51C9">
        <w:rPr>
          <w:szCs w:val="20"/>
        </w:rPr>
        <w:t>faglige organisationer</w:t>
      </w:r>
      <w:r w:rsidR="00AC6CD9" w:rsidRPr="00AC51C9">
        <w:rPr>
          <w:szCs w:val="20"/>
        </w:rPr>
        <w:t>.</w:t>
      </w:r>
      <w:r w:rsidRPr="00AC51C9">
        <w:rPr>
          <w:szCs w:val="20"/>
        </w:rPr>
        <w:t xml:space="preserve"> Reguleringen betyder at loftet over hvor meget du må trække fra i skat når du er medlem af en </w:t>
      </w:r>
      <w:r w:rsidR="00AC51C9" w:rsidRPr="00AC51C9">
        <w:rPr>
          <w:szCs w:val="20"/>
        </w:rPr>
        <w:t>fagforening,</w:t>
      </w:r>
      <w:r w:rsidRPr="00AC51C9">
        <w:rPr>
          <w:szCs w:val="20"/>
        </w:rPr>
        <w:t xml:space="preserve"> </w:t>
      </w:r>
      <w:r w:rsidR="0038437C" w:rsidRPr="00AC51C9">
        <w:rPr>
          <w:szCs w:val="20"/>
        </w:rPr>
        <w:t>steg</w:t>
      </w:r>
      <w:r w:rsidRPr="00AC51C9">
        <w:rPr>
          <w:szCs w:val="20"/>
        </w:rPr>
        <w:t xml:space="preserve"> </w:t>
      </w:r>
      <w:r w:rsidR="00DF43A1" w:rsidRPr="00AC51C9">
        <w:rPr>
          <w:szCs w:val="20"/>
        </w:rPr>
        <w:t xml:space="preserve">fra 3.000 kr. </w:t>
      </w:r>
      <w:r w:rsidRPr="00AC51C9">
        <w:rPr>
          <w:szCs w:val="20"/>
        </w:rPr>
        <w:t>til 6.000 kr. om året</w:t>
      </w:r>
      <w:r w:rsidR="0038437C" w:rsidRPr="00AC51C9">
        <w:rPr>
          <w:szCs w:val="20"/>
        </w:rPr>
        <w:t>, dette er fortsat gældende</w:t>
      </w:r>
      <w:r w:rsidRPr="00AC51C9">
        <w:rPr>
          <w:szCs w:val="20"/>
        </w:rPr>
        <w:t xml:space="preserve">. A-kasse og efterlønsbidrag </w:t>
      </w:r>
      <w:r w:rsidR="0038437C" w:rsidRPr="00AC51C9">
        <w:rPr>
          <w:szCs w:val="20"/>
        </w:rPr>
        <w:t xml:space="preserve">er </w:t>
      </w:r>
      <w:r w:rsidR="00AC51C9" w:rsidRPr="00AC51C9">
        <w:rPr>
          <w:szCs w:val="20"/>
        </w:rPr>
        <w:t>desuden</w:t>
      </w:r>
      <w:r w:rsidR="0038437C" w:rsidRPr="00AC51C9">
        <w:rPr>
          <w:szCs w:val="20"/>
        </w:rPr>
        <w:t xml:space="preserve"> </w:t>
      </w:r>
      <w:r w:rsidRPr="00AC51C9">
        <w:rPr>
          <w:szCs w:val="20"/>
        </w:rPr>
        <w:t>fortsat 100%</w:t>
      </w:r>
      <w:r w:rsidR="0038437C" w:rsidRPr="00AC51C9">
        <w:rPr>
          <w:szCs w:val="20"/>
        </w:rPr>
        <w:t xml:space="preserve"> </w:t>
      </w:r>
      <w:r w:rsidRPr="00AC51C9">
        <w:rPr>
          <w:szCs w:val="20"/>
        </w:rPr>
        <w:t>fradragsberettiget.</w:t>
      </w:r>
    </w:p>
    <w:p w14:paraId="638CB86C" w14:textId="2E21E268" w:rsidR="00DF43A1" w:rsidRDefault="00DF43A1">
      <w:pPr>
        <w:rPr>
          <w:szCs w:val="20"/>
        </w:rPr>
      </w:pPr>
    </w:p>
    <w:p w14:paraId="43C435BC" w14:textId="527059A3" w:rsidR="0049234F" w:rsidRDefault="0049234F">
      <w:pPr>
        <w:rPr>
          <w:szCs w:val="20"/>
        </w:rPr>
      </w:pPr>
      <w:r>
        <w:rPr>
          <w:szCs w:val="20"/>
        </w:rPr>
        <w:t xml:space="preserve">Du kan i nedenstående skemaer se hvad du kan forskudsopgøre hos SKAT. Hvis du ikke foretager dig noget forskudsopgøre SKAT det beløb 3F har indberettet på dig året før. Det er </w:t>
      </w:r>
      <w:r w:rsidR="00E33D48">
        <w:rPr>
          <w:szCs w:val="20"/>
        </w:rPr>
        <w:t xml:space="preserve">altid </w:t>
      </w:r>
      <w:r>
        <w:rPr>
          <w:szCs w:val="20"/>
        </w:rPr>
        <w:t xml:space="preserve">en god ide at ændre din forskudsopgørelse hvis der </w:t>
      </w:r>
      <w:r w:rsidR="00E33D48">
        <w:rPr>
          <w:szCs w:val="20"/>
        </w:rPr>
        <w:t>sker æ</w:t>
      </w:r>
      <w:r>
        <w:rPr>
          <w:szCs w:val="20"/>
        </w:rPr>
        <w:t>ndringer af dit 3F medlemskab.</w:t>
      </w:r>
    </w:p>
    <w:p w14:paraId="3B2BAFD6" w14:textId="1605749E" w:rsidR="00AC619C" w:rsidRDefault="00AC619C">
      <w:pPr>
        <w:rPr>
          <w:szCs w:val="20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2"/>
        <w:gridCol w:w="1918"/>
        <w:gridCol w:w="2360"/>
        <w:gridCol w:w="2360"/>
      </w:tblGrid>
      <w:tr w:rsidR="00AC619C" w:rsidRPr="00AC619C" w14:paraId="7EC36DEE" w14:textId="77777777" w:rsidTr="00AC619C">
        <w:trPr>
          <w:trHeight w:val="315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9699" w14:textId="799E0012" w:rsidR="00AC619C" w:rsidRPr="00AC619C" w:rsidRDefault="00AC619C" w:rsidP="00AC619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Faglige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Pr="00AC61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kontingenter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3FF" w14:textId="77777777" w:rsidR="00AC619C" w:rsidRPr="00AC619C" w:rsidRDefault="00AC619C" w:rsidP="00AC619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DD38" w14:textId="431DCC4C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</w:tr>
      <w:tr w:rsidR="00AC619C" w:rsidRPr="00AC619C" w14:paraId="5546DC3F" w14:textId="77777777" w:rsidTr="00AC619C">
        <w:trPr>
          <w:trHeight w:val="330"/>
        </w:trPr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A5D3355" w14:textId="77777777" w:rsidR="00AC619C" w:rsidRPr="00AC619C" w:rsidRDefault="00AC619C" w:rsidP="00AC619C">
            <w:pPr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  <w:t> 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86FEB2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  <w:t>Kontingent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E5E30E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  <w:t>Fradragsberettiget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63447B9B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  <w:t>Samlet fradrag år</w:t>
            </w:r>
          </w:p>
        </w:tc>
      </w:tr>
      <w:tr w:rsidR="00AC619C" w:rsidRPr="00AC619C" w14:paraId="4ED414D7" w14:textId="77777777" w:rsidTr="00AC619C">
        <w:trPr>
          <w:trHeight w:val="255"/>
        </w:trPr>
        <w:tc>
          <w:tcPr>
            <w:tcW w:w="2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4F28" w14:textId="77777777" w:rsidR="00AC619C" w:rsidRPr="00AC619C" w:rsidRDefault="00AC619C" w:rsidP="00AC619C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Ordinær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6515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458,00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AF45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425,5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7BF55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5.106</w:t>
            </w:r>
          </w:p>
        </w:tc>
      </w:tr>
      <w:tr w:rsidR="00AC619C" w:rsidRPr="00AC619C" w14:paraId="5D48B7D9" w14:textId="77777777" w:rsidTr="00AC619C">
        <w:trPr>
          <w:trHeight w:val="255"/>
        </w:trPr>
        <w:tc>
          <w:tcPr>
            <w:tcW w:w="2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306AC6" w14:textId="77777777" w:rsidR="00AC619C" w:rsidRPr="00AC619C" w:rsidRDefault="00AC619C" w:rsidP="00AC619C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Ordinær Deltid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7D12A3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293,50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40AF7D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261,0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A9911B1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3.132</w:t>
            </w:r>
          </w:p>
        </w:tc>
      </w:tr>
      <w:tr w:rsidR="00AC619C" w:rsidRPr="00AC619C" w14:paraId="4DF6DF5F" w14:textId="77777777" w:rsidTr="00AC619C">
        <w:trPr>
          <w:trHeight w:val="255"/>
        </w:trPr>
        <w:tc>
          <w:tcPr>
            <w:tcW w:w="2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E61C" w14:textId="77777777" w:rsidR="00AC619C" w:rsidRPr="00AC619C" w:rsidRDefault="00AC619C" w:rsidP="00AC619C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Nedsat kontingent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97B1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109,50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1AC6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77,0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4DD9E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924</w:t>
            </w:r>
          </w:p>
        </w:tc>
      </w:tr>
      <w:tr w:rsidR="00AC619C" w:rsidRPr="00AC619C" w14:paraId="72EE5493" w14:textId="77777777" w:rsidTr="00AC619C">
        <w:trPr>
          <w:trHeight w:val="255"/>
        </w:trPr>
        <w:tc>
          <w:tcPr>
            <w:tcW w:w="2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E42BB6" w14:textId="77777777" w:rsidR="00AC619C" w:rsidRPr="00AC619C" w:rsidRDefault="00AC619C" w:rsidP="00AC619C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Fritidsjob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6DA3AE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30,00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2D3DC0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DA6CC0A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0</w:t>
            </w:r>
          </w:p>
        </w:tc>
      </w:tr>
      <w:tr w:rsidR="00AC619C" w:rsidRPr="00AC619C" w14:paraId="4F91264C" w14:textId="77777777" w:rsidTr="00AC619C">
        <w:trPr>
          <w:trHeight w:val="255"/>
        </w:trPr>
        <w:tc>
          <w:tcPr>
            <w:tcW w:w="2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8D67" w14:textId="77777777" w:rsidR="00AC619C" w:rsidRPr="00AC619C" w:rsidRDefault="00AC619C" w:rsidP="00AC619C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Efterløn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87F5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227,00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65D2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194,5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AFC63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2.334</w:t>
            </w:r>
          </w:p>
        </w:tc>
      </w:tr>
      <w:tr w:rsidR="00AC619C" w:rsidRPr="00AC619C" w14:paraId="781A9890" w14:textId="77777777" w:rsidTr="00AC619C">
        <w:trPr>
          <w:trHeight w:val="255"/>
        </w:trPr>
        <w:tc>
          <w:tcPr>
            <w:tcW w:w="2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7724A1" w14:textId="77777777" w:rsidR="00AC619C" w:rsidRPr="00AC619C" w:rsidRDefault="00AC619C" w:rsidP="00AC619C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Førtidspension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C4E100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126,50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F86C6F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76490FA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0</w:t>
            </w:r>
          </w:p>
        </w:tc>
      </w:tr>
      <w:tr w:rsidR="00AC619C" w:rsidRPr="00AC619C" w14:paraId="3356F3CA" w14:textId="77777777" w:rsidTr="00AC619C">
        <w:trPr>
          <w:trHeight w:val="255"/>
        </w:trPr>
        <w:tc>
          <w:tcPr>
            <w:tcW w:w="2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D309" w14:textId="77777777" w:rsidR="00AC619C" w:rsidRPr="00AC619C" w:rsidRDefault="00AC619C" w:rsidP="00AC619C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Pensionist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CA85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58,50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50BE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76FC0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0</w:t>
            </w:r>
          </w:p>
        </w:tc>
      </w:tr>
      <w:tr w:rsidR="00AC619C" w:rsidRPr="00AC619C" w14:paraId="7F079D5F" w14:textId="77777777" w:rsidTr="00AC619C">
        <w:trPr>
          <w:trHeight w:val="255"/>
        </w:trPr>
        <w:tc>
          <w:tcPr>
            <w:tcW w:w="2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D35A76" w14:textId="77777777" w:rsidR="00AC619C" w:rsidRPr="00AC619C" w:rsidRDefault="00AC619C" w:rsidP="00AC619C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Lærling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421EAF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65,00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9FF3CA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32,5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65892E1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390</w:t>
            </w:r>
          </w:p>
        </w:tc>
      </w:tr>
      <w:tr w:rsidR="00AC619C" w:rsidRPr="00AC619C" w14:paraId="307452EC" w14:textId="77777777" w:rsidTr="00AC619C">
        <w:trPr>
          <w:trHeight w:val="270"/>
        </w:trPr>
        <w:tc>
          <w:tcPr>
            <w:tcW w:w="28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4B55" w14:textId="77777777" w:rsidR="00AC619C" w:rsidRPr="00AC619C" w:rsidRDefault="00AC619C" w:rsidP="00AC619C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Voksenlærling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E599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458,00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2A19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425,5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3E34F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5.106</w:t>
            </w:r>
          </w:p>
        </w:tc>
      </w:tr>
    </w:tbl>
    <w:p w14:paraId="3CB0810A" w14:textId="340ACE0B" w:rsidR="007D4ECC" w:rsidRDefault="007D4ECC">
      <w:pPr>
        <w:rPr>
          <w:szCs w:val="20"/>
        </w:rPr>
      </w:pPr>
    </w:p>
    <w:p w14:paraId="13EB25E7" w14:textId="71B7AAD7" w:rsidR="00AC51C9" w:rsidRPr="00E33D48" w:rsidRDefault="00AC51C9">
      <w:pPr>
        <w:rPr>
          <w:i/>
          <w:iCs/>
          <w:szCs w:val="20"/>
        </w:rPr>
      </w:pPr>
      <w:r w:rsidRPr="00E33D48">
        <w:rPr>
          <w:rFonts w:cs="Arial"/>
          <w:i/>
          <w:iCs/>
          <w:szCs w:val="20"/>
        </w:rPr>
        <w:t>Skriv det samlede fagforeningsbeløb i felt </w:t>
      </w:r>
      <w:r w:rsidRPr="00E33D48">
        <w:rPr>
          <w:rFonts w:cs="Arial"/>
          <w:b/>
          <w:bCs/>
          <w:i/>
          <w:iCs/>
          <w:szCs w:val="20"/>
        </w:rPr>
        <w:t>458</w:t>
      </w:r>
      <w:r w:rsidRPr="00E33D48">
        <w:rPr>
          <w:rFonts w:cs="Arial"/>
          <w:i/>
          <w:iCs/>
          <w:szCs w:val="20"/>
        </w:rPr>
        <w:t xml:space="preserve"> på din forskudsopgørelse</w:t>
      </w:r>
    </w:p>
    <w:p w14:paraId="5A6E8C6C" w14:textId="3D75B8A9" w:rsidR="00AC51C9" w:rsidRDefault="00AC51C9">
      <w:pPr>
        <w:rPr>
          <w:szCs w:val="20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1847"/>
        <w:gridCol w:w="2360"/>
        <w:gridCol w:w="2360"/>
      </w:tblGrid>
      <w:tr w:rsidR="00AC619C" w:rsidRPr="00AC619C" w14:paraId="38818EB3" w14:textId="77777777" w:rsidTr="00AC619C">
        <w:trPr>
          <w:trHeight w:val="315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681" w14:textId="77777777" w:rsidR="00AC619C" w:rsidRPr="00AC619C" w:rsidRDefault="00AC619C" w:rsidP="00AC619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A-kasse og Efterløn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D49D" w14:textId="77777777" w:rsidR="00AC619C" w:rsidRPr="00AC619C" w:rsidRDefault="00AC619C" w:rsidP="00AC619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7C41" w14:textId="1DE43516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</w:tr>
      <w:tr w:rsidR="00AC619C" w:rsidRPr="00AC619C" w14:paraId="179B1250" w14:textId="77777777" w:rsidTr="00AC619C">
        <w:trPr>
          <w:trHeight w:val="330"/>
        </w:trPr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D4C2EA2" w14:textId="77777777" w:rsidR="00AC619C" w:rsidRPr="00AC619C" w:rsidRDefault="00AC619C" w:rsidP="00AC619C">
            <w:pPr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  <w:t> 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A5F33D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  <w:t>Kontingent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7144B3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  <w:t>Fradragsberettiget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47656330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FFFFFF"/>
                <w:szCs w:val="20"/>
                <w:lang w:eastAsia="da-DK"/>
              </w:rPr>
              <w:t>Samlet fradrag år</w:t>
            </w:r>
          </w:p>
        </w:tc>
      </w:tr>
      <w:tr w:rsidR="00AC619C" w:rsidRPr="00AC619C" w14:paraId="264722B7" w14:textId="77777777" w:rsidTr="00AC619C">
        <w:trPr>
          <w:trHeight w:val="255"/>
        </w:trPr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3CA" w14:textId="77777777" w:rsidR="00AC619C" w:rsidRPr="00AC619C" w:rsidRDefault="00AC619C" w:rsidP="00AC619C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A-kasse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463A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524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CA61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524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FC4A0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6.288</w:t>
            </w:r>
          </w:p>
        </w:tc>
      </w:tr>
      <w:tr w:rsidR="00AC619C" w:rsidRPr="00AC619C" w14:paraId="0E750646" w14:textId="77777777" w:rsidTr="00AC619C">
        <w:trPr>
          <w:trHeight w:val="255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0B923C" w14:textId="77777777" w:rsidR="00AC619C" w:rsidRPr="00AC619C" w:rsidRDefault="00AC619C" w:rsidP="00AC619C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A-kasse og Efterløn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F5D3C6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1.045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CA33D0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1.045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5328715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12.540</w:t>
            </w:r>
          </w:p>
        </w:tc>
      </w:tr>
      <w:tr w:rsidR="00AC619C" w:rsidRPr="00AC619C" w14:paraId="72982356" w14:textId="77777777" w:rsidTr="00AC619C">
        <w:trPr>
          <w:trHeight w:val="27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7682" w14:textId="77777777" w:rsidR="00AC619C" w:rsidRPr="00AC619C" w:rsidRDefault="00AC619C" w:rsidP="00AC619C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Efterløn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3338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513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A498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color w:val="000000"/>
                <w:szCs w:val="20"/>
                <w:lang w:eastAsia="da-DK"/>
              </w:rPr>
              <w:t>513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90600" w14:textId="77777777" w:rsidR="00AC619C" w:rsidRPr="00AC619C" w:rsidRDefault="00AC619C" w:rsidP="00AC619C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AC619C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6.156</w:t>
            </w:r>
          </w:p>
        </w:tc>
      </w:tr>
    </w:tbl>
    <w:p w14:paraId="528A4B40" w14:textId="77777777" w:rsidR="00AC619C" w:rsidRPr="00AC51C9" w:rsidRDefault="00AC619C">
      <w:pPr>
        <w:rPr>
          <w:szCs w:val="20"/>
        </w:rPr>
      </w:pPr>
    </w:p>
    <w:p w14:paraId="5844A29D" w14:textId="5C1F44B0" w:rsidR="00AC51C9" w:rsidRPr="00AC51C9" w:rsidRDefault="00AC51C9">
      <w:pPr>
        <w:rPr>
          <w:szCs w:val="20"/>
        </w:rPr>
      </w:pPr>
    </w:p>
    <w:p w14:paraId="0D6D9024" w14:textId="719870DD" w:rsidR="00AC51C9" w:rsidRPr="00E33D48" w:rsidRDefault="00AC51C9">
      <w:pPr>
        <w:rPr>
          <w:i/>
          <w:iCs/>
          <w:szCs w:val="20"/>
        </w:rPr>
      </w:pPr>
      <w:r w:rsidRPr="00E33D48">
        <w:rPr>
          <w:rFonts w:cs="Arial"/>
          <w:i/>
          <w:iCs/>
          <w:szCs w:val="20"/>
        </w:rPr>
        <w:t>Skriv det samlede a-kasse/efterlønsbeløb i felt </w:t>
      </w:r>
      <w:r w:rsidRPr="00E33D48">
        <w:rPr>
          <w:rFonts w:cs="Arial"/>
          <w:b/>
          <w:bCs/>
          <w:i/>
          <w:iCs/>
          <w:szCs w:val="20"/>
        </w:rPr>
        <w:t>439</w:t>
      </w:r>
      <w:r w:rsidRPr="00E33D48">
        <w:rPr>
          <w:rFonts w:cs="Arial"/>
          <w:i/>
          <w:iCs/>
          <w:szCs w:val="20"/>
        </w:rPr>
        <w:t xml:space="preserve"> på din forskudsopgørelse</w:t>
      </w:r>
    </w:p>
    <w:p w14:paraId="3F756C8A" w14:textId="77777777" w:rsidR="00AC51C9" w:rsidRPr="00AC51C9" w:rsidRDefault="00AC51C9">
      <w:pPr>
        <w:rPr>
          <w:szCs w:val="20"/>
        </w:rPr>
      </w:pPr>
    </w:p>
    <w:p w14:paraId="49FF630F" w14:textId="77777777" w:rsidR="00E33D48" w:rsidRDefault="00E33D48"/>
    <w:p w14:paraId="27D7E0D4" w14:textId="3C16992F" w:rsidR="00E33D48" w:rsidRDefault="00E33D48">
      <w:r>
        <w:t>Hvis du betaler både fagforening og a-kasse så skal du indberette i to felter på din forskudsopgørelse hos SKAT.</w:t>
      </w:r>
    </w:p>
    <w:p w14:paraId="5F6BAF1F" w14:textId="77777777" w:rsidR="00E33D48" w:rsidRDefault="00E33D48"/>
    <w:p w14:paraId="12E8E1C6" w14:textId="30D68187" w:rsidR="007D4ECC" w:rsidRDefault="0049234F">
      <w:r>
        <w:t>Er du i tvivl om hvad du skal indberette så kontakt afdelingen.</w:t>
      </w:r>
    </w:p>
    <w:p w14:paraId="6A5CAA45" w14:textId="7FFD00C3" w:rsidR="007D4ECC" w:rsidRDefault="007D4ECC"/>
    <w:p w14:paraId="28134808" w14:textId="1741C210" w:rsidR="00E33D48" w:rsidRDefault="00E33D48">
      <w:r>
        <w:br w:type="page"/>
      </w:r>
    </w:p>
    <w:p w14:paraId="62D0EADB" w14:textId="2BD646F8" w:rsidR="007D4ECC" w:rsidRPr="00E33D48" w:rsidRDefault="00AC51C9">
      <w:pPr>
        <w:rPr>
          <w:b/>
          <w:bCs/>
          <w:sz w:val="22"/>
        </w:rPr>
      </w:pPr>
      <w:r w:rsidRPr="00E33D48">
        <w:rPr>
          <w:b/>
          <w:bCs/>
          <w:sz w:val="22"/>
        </w:rPr>
        <w:lastRenderedPageBreak/>
        <w:t xml:space="preserve">Men hvad koster det så </w:t>
      </w:r>
      <w:r w:rsidR="0049234F" w:rsidRPr="00E33D48">
        <w:rPr>
          <w:b/>
          <w:bCs/>
          <w:sz w:val="22"/>
        </w:rPr>
        <w:t>faktisk at være medlem</w:t>
      </w:r>
    </w:p>
    <w:p w14:paraId="2F40014A" w14:textId="77777777" w:rsidR="007D4ECC" w:rsidRDefault="007D4ECC"/>
    <w:p w14:paraId="18307725" w14:textId="71464A98" w:rsidR="00F77705" w:rsidRDefault="00B347B2" w:rsidP="00A27BB8">
      <w:r>
        <w:t>Nedenstående beregning viser hvad det reelt koster at være medlem af 3F Skive-Egnen i 20</w:t>
      </w:r>
      <w:r w:rsidR="00E80732">
        <w:t>2</w:t>
      </w:r>
      <w:r w:rsidR="00AC619C">
        <w:t>2</w:t>
      </w:r>
      <w:r>
        <w:t xml:space="preserve">. </w:t>
      </w:r>
    </w:p>
    <w:p w14:paraId="2126C1BD" w14:textId="66E337AA" w:rsidR="00A27BB8" w:rsidRDefault="00A27BB8" w:rsidP="00A27BB8"/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0"/>
        <w:gridCol w:w="1560"/>
        <w:gridCol w:w="520"/>
      </w:tblGrid>
      <w:tr w:rsidR="008D0222" w:rsidRPr="008D0222" w14:paraId="4655AB1F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AF9A28D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5DDCC5F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8F6277C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6782C4E4" w14:textId="77777777" w:rsidTr="008D022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F928D64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8D02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Faglig kontingent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44719F6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6BBA3AD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441989B0" w14:textId="77777777" w:rsidTr="008D0222">
        <w:trPr>
          <w:trHeight w:val="10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3CA4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22F1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3657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611C939B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C40CDD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Fagligt kontingent til 3F pr. måned.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2E51A7" w14:textId="77777777" w:rsidR="008D0222" w:rsidRPr="008D0222" w:rsidRDefault="008D0222" w:rsidP="008D0222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496,00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FF4590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kr.</w:t>
            </w:r>
          </w:p>
        </w:tc>
      </w:tr>
      <w:tr w:rsidR="008D0222" w:rsidRPr="008D0222" w14:paraId="11A67A47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578989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Gruppelivsforsikring og fritidsulykkesforsikring er ikke fradragsberettiget.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4419A5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98B6B8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74DFB2C2" w14:textId="77777777" w:rsidTr="008D0222">
        <w:trPr>
          <w:trHeight w:val="10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A992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0D39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0C9C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0B7078CD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A082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Skattemæssig fradragsgrænse for faglige kontingenter.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6195" w14:textId="77777777" w:rsidR="008D0222" w:rsidRPr="008D0222" w:rsidRDefault="008D0222" w:rsidP="008D0222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-425,50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8079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kr.</w:t>
            </w:r>
          </w:p>
        </w:tc>
      </w:tr>
      <w:tr w:rsidR="008D0222" w:rsidRPr="008D0222" w14:paraId="2F59AD6F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17F4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Der kan maximalt fradrages 6.000 kr. om året for faglige kontingenter.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D06A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7E8D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46ABF215" w14:textId="77777777" w:rsidTr="008D0222">
        <w:trPr>
          <w:trHeight w:val="10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365F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9315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6BC9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0FDF8075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72F754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Rest der ikke kan fradrages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873A57" w14:textId="77777777" w:rsidR="008D0222" w:rsidRPr="008D0222" w:rsidRDefault="008D0222" w:rsidP="008D0222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70,50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D5F9DE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kr.</w:t>
            </w:r>
          </w:p>
        </w:tc>
      </w:tr>
      <w:tr w:rsidR="008D0222" w:rsidRPr="008D0222" w14:paraId="5CBD532C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FD4EF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892CA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143189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5BEEFC54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A94E" w14:textId="66548910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Skattefradrag</w:t>
            </w: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 xml:space="preserve"> pr. måned.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0BDF" w14:textId="77777777" w:rsidR="008D0222" w:rsidRPr="008D0222" w:rsidRDefault="008D0222" w:rsidP="008D0222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108,93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517C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kr.</w:t>
            </w:r>
          </w:p>
        </w:tc>
      </w:tr>
      <w:tr w:rsidR="008D0222" w:rsidRPr="008D0222" w14:paraId="34C02E8A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0D23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425,50 x 25,6%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E3C3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86FC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7DA2CA75" w14:textId="77777777" w:rsidTr="008D0222">
        <w:trPr>
          <w:trHeight w:val="10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386D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94B4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6E77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57918769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3DD4AD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Fagligt kontingent efter fradrag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14D987" w14:textId="77777777" w:rsidR="008D0222" w:rsidRPr="008D0222" w:rsidRDefault="008D0222" w:rsidP="008D0222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387,07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E9BA01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kr.</w:t>
            </w:r>
          </w:p>
        </w:tc>
      </w:tr>
      <w:tr w:rsidR="008D0222" w:rsidRPr="008D0222" w14:paraId="36067204" w14:textId="77777777" w:rsidTr="008D022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04B930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412B73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2C996A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3FC6543E" w14:textId="77777777" w:rsidTr="008D022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DC9E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7915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F2BF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49CF6540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69A939C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31D8D47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FC1D32D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6D6AE489" w14:textId="77777777" w:rsidTr="008D022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46C247D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A-kasse kontingent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3C099E4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EDC886E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101019BA" w14:textId="77777777" w:rsidTr="008D0222">
        <w:trPr>
          <w:trHeight w:val="10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5049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C561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F14F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4C46EFFB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B7A69F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Kontingent til 3F/Staten pr måned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80087E" w14:textId="77777777" w:rsidR="008D0222" w:rsidRPr="008D0222" w:rsidRDefault="008D0222" w:rsidP="008D0222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524,00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D27E5F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kr.</w:t>
            </w:r>
          </w:p>
        </w:tc>
      </w:tr>
      <w:tr w:rsidR="008D0222" w:rsidRPr="008D0222" w14:paraId="59B2D4DA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71587C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C60E5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FDEE7B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20E4780F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85D0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Skattefradrag pr. måned 524 kr. x 25,6%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5580" w14:textId="77777777" w:rsidR="008D0222" w:rsidRPr="008D0222" w:rsidRDefault="008D0222" w:rsidP="008D0222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134,14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00A4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kr.</w:t>
            </w:r>
          </w:p>
        </w:tc>
      </w:tr>
      <w:tr w:rsidR="008D0222" w:rsidRPr="008D0222" w14:paraId="7AF20651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A12D" w14:textId="574B1D6C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 xml:space="preserve">Hele </w:t>
            </w: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a-kassekontingentet</w:t>
            </w: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 xml:space="preserve"> er fradrags berettiget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315C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738E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1A05A137" w14:textId="77777777" w:rsidTr="008D0222">
        <w:trPr>
          <w:trHeight w:val="10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5BD2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4DA5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A248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672D2C4F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067486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A-kasse kontingent efter fradrag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B125B3" w14:textId="77777777" w:rsidR="008D0222" w:rsidRPr="008D0222" w:rsidRDefault="008D0222" w:rsidP="008D0222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389,86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0028E1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kr.</w:t>
            </w:r>
          </w:p>
        </w:tc>
      </w:tr>
      <w:tr w:rsidR="008D0222" w:rsidRPr="008D0222" w14:paraId="5A4F5EFA" w14:textId="77777777" w:rsidTr="008D022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09B42E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522E9D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D31813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4538D0E2" w14:textId="77777777" w:rsidTr="008D022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8100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B139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917B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27934418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FB24698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54B138D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C39FC5D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2C0BB9FB" w14:textId="77777777" w:rsidTr="008D022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7A80B0F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Samlet kontingent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4BD1D15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6119847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01A8915D" w14:textId="77777777" w:rsidTr="008D0222">
        <w:trPr>
          <w:trHeight w:val="10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9205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C0BA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8386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4CBE8BCB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DD3C8E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Samlet kontingent pr. måned efter fradrag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68EE06" w14:textId="77777777" w:rsidR="008D0222" w:rsidRPr="008D0222" w:rsidRDefault="008D0222" w:rsidP="008D0222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776,93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804AB3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kr.</w:t>
            </w:r>
          </w:p>
        </w:tc>
      </w:tr>
      <w:tr w:rsidR="008D0222" w:rsidRPr="008D0222" w14:paraId="7E5FC5CF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05D19F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Forbund (387,07) + a-kasse (389,86)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47A9AA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449D9F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0F018A39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895D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95AA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95A3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4266E8C1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CE46C" w14:textId="77777777" w:rsid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  <w:p w14:paraId="7DDFA0B7" w14:textId="77777777" w:rsid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  <w:p w14:paraId="5A2D6707" w14:textId="1DC3DC1A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64EB0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572EE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1BE3D4AB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92077DC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DA313E0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43E7A39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270D2D9C" w14:textId="77777777" w:rsidTr="008D022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62769F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Efterløn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6D64B6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BD87BC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1884117E" w14:textId="77777777" w:rsidTr="008D0222">
        <w:trPr>
          <w:trHeight w:val="10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8C3E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06CE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F655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63147ED0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9FD6EF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Kontingent til staten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053F3B" w14:textId="77777777" w:rsidR="008D0222" w:rsidRPr="008D0222" w:rsidRDefault="008D0222" w:rsidP="008D0222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521,00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577AF3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kr.</w:t>
            </w:r>
          </w:p>
        </w:tc>
      </w:tr>
      <w:tr w:rsidR="008D0222" w:rsidRPr="008D0222" w14:paraId="61E34B81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51D6CB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9EC6E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02B1F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  <w:tr w:rsidR="008D0222" w:rsidRPr="008D0222" w14:paraId="602679BD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8ED2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Skattefradrag pr. måned 521 kr. x 25,6%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EAE6" w14:textId="77777777" w:rsidR="008D0222" w:rsidRPr="008D0222" w:rsidRDefault="008D0222" w:rsidP="008D0222">
            <w:pPr>
              <w:jc w:val="right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133,38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66DF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kr.</w:t>
            </w:r>
          </w:p>
        </w:tc>
      </w:tr>
      <w:tr w:rsidR="008D0222" w:rsidRPr="008D0222" w14:paraId="39E0E997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23E6" w14:textId="2E06AFE4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 xml:space="preserve">Hele </w:t>
            </w: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efterlønsbidraget</w:t>
            </w: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 xml:space="preserve"> er fradragsberettiget.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F909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96E0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6A4C0A71" w14:textId="77777777" w:rsidTr="008D0222">
        <w:trPr>
          <w:trHeight w:val="10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1402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5584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52B1" w14:textId="77777777" w:rsidR="008D0222" w:rsidRPr="008D0222" w:rsidRDefault="008D0222" w:rsidP="008D0222">
            <w:pPr>
              <w:rPr>
                <w:rFonts w:ascii="Times New Roman" w:eastAsia="Times New Roman" w:hAnsi="Times New Roman" w:cs="Times New Roman"/>
                <w:szCs w:val="20"/>
                <w:lang w:eastAsia="da-DK"/>
              </w:rPr>
            </w:pPr>
          </w:p>
        </w:tc>
      </w:tr>
      <w:tr w:rsidR="008D0222" w:rsidRPr="008D0222" w14:paraId="50336C01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398F75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Efterløns bidrag efter fradrag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413F63" w14:textId="77777777" w:rsidR="008D0222" w:rsidRPr="008D0222" w:rsidRDefault="008D0222" w:rsidP="008D0222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387,62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29A889" w14:textId="77777777" w:rsidR="008D0222" w:rsidRPr="008D0222" w:rsidRDefault="008D0222" w:rsidP="008D0222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b/>
                <w:bCs/>
                <w:color w:val="000000"/>
                <w:szCs w:val="20"/>
                <w:lang w:eastAsia="da-DK"/>
              </w:rPr>
              <w:t>kr.</w:t>
            </w:r>
          </w:p>
        </w:tc>
      </w:tr>
      <w:tr w:rsidR="008D0222" w:rsidRPr="008D0222" w14:paraId="3F6636DE" w14:textId="77777777" w:rsidTr="008D0222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C35334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5BE0DC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CE3222" w14:textId="77777777" w:rsidR="008D0222" w:rsidRPr="008D0222" w:rsidRDefault="008D0222" w:rsidP="008D0222">
            <w:pPr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 w:rsidRPr="008D0222">
              <w:rPr>
                <w:rFonts w:eastAsia="Times New Roman" w:cs="Times New Roman"/>
                <w:color w:val="000000"/>
                <w:szCs w:val="20"/>
                <w:lang w:eastAsia="da-DK"/>
              </w:rPr>
              <w:t> </w:t>
            </w:r>
          </w:p>
        </w:tc>
      </w:tr>
    </w:tbl>
    <w:p w14:paraId="1DDF5E27" w14:textId="1D2BCA73" w:rsidR="007D4ECC" w:rsidRDefault="007D4ECC"/>
    <w:p w14:paraId="34024DCF" w14:textId="576FC23C" w:rsidR="007D4ECC" w:rsidRDefault="007D4ECC"/>
    <w:p w14:paraId="757B4EEF" w14:textId="1690308C" w:rsidR="007D4ECC" w:rsidRDefault="007D4ECC"/>
    <w:p w14:paraId="34A318F1" w14:textId="77777777" w:rsidR="007D4ECC" w:rsidRDefault="007D4ECC"/>
    <w:sectPr w:rsidR="007D4ECC" w:rsidSect="00E42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BF"/>
    <w:rsid w:val="000108A7"/>
    <w:rsid w:val="0002696D"/>
    <w:rsid w:val="0003699D"/>
    <w:rsid w:val="000935CB"/>
    <w:rsid w:val="000D3086"/>
    <w:rsid w:val="00110349"/>
    <w:rsid w:val="001578FB"/>
    <w:rsid w:val="00184141"/>
    <w:rsid w:val="001A0448"/>
    <w:rsid w:val="001A1B7B"/>
    <w:rsid w:val="001B3CC0"/>
    <w:rsid w:val="001D4361"/>
    <w:rsid w:val="001E5EBA"/>
    <w:rsid w:val="001F006B"/>
    <w:rsid w:val="00226C68"/>
    <w:rsid w:val="00246EE7"/>
    <w:rsid w:val="002568E4"/>
    <w:rsid w:val="00260159"/>
    <w:rsid w:val="00262155"/>
    <w:rsid w:val="00265585"/>
    <w:rsid w:val="00367F0F"/>
    <w:rsid w:val="0038437C"/>
    <w:rsid w:val="003A632A"/>
    <w:rsid w:val="003E2DCB"/>
    <w:rsid w:val="00451988"/>
    <w:rsid w:val="004577BC"/>
    <w:rsid w:val="00464956"/>
    <w:rsid w:val="0046734B"/>
    <w:rsid w:val="0049234F"/>
    <w:rsid w:val="004B2650"/>
    <w:rsid w:val="004D6F8F"/>
    <w:rsid w:val="00510BB3"/>
    <w:rsid w:val="00524051"/>
    <w:rsid w:val="00530EB7"/>
    <w:rsid w:val="005707CA"/>
    <w:rsid w:val="00573573"/>
    <w:rsid w:val="005B1093"/>
    <w:rsid w:val="006461CB"/>
    <w:rsid w:val="006549A5"/>
    <w:rsid w:val="006915D2"/>
    <w:rsid w:val="006D2DFA"/>
    <w:rsid w:val="00701EDA"/>
    <w:rsid w:val="007139BC"/>
    <w:rsid w:val="00766FD6"/>
    <w:rsid w:val="007D0681"/>
    <w:rsid w:val="007D1408"/>
    <w:rsid w:val="007D442A"/>
    <w:rsid w:val="007D4ECC"/>
    <w:rsid w:val="008248A3"/>
    <w:rsid w:val="00834A88"/>
    <w:rsid w:val="0089485C"/>
    <w:rsid w:val="008A2BCD"/>
    <w:rsid w:val="008A3C2D"/>
    <w:rsid w:val="008B7316"/>
    <w:rsid w:val="008D0222"/>
    <w:rsid w:val="009011A8"/>
    <w:rsid w:val="00970430"/>
    <w:rsid w:val="009A353A"/>
    <w:rsid w:val="009E3409"/>
    <w:rsid w:val="009F2965"/>
    <w:rsid w:val="00A171FB"/>
    <w:rsid w:val="00A26519"/>
    <w:rsid w:val="00A27BB8"/>
    <w:rsid w:val="00A27D2B"/>
    <w:rsid w:val="00A31D45"/>
    <w:rsid w:val="00A40512"/>
    <w:rsid w:val="00A5077C"/>
    <w:rsid w:val="00A676C3"/>
    <w:rsid w:val="00A73A79"/>
    <w:rsid w:val="00A76860"/>
    <w:rsid w:val="00A87043"/>
    <w:rsid w:val="00AC51C9"/>
    <w:rsid w:val="00AC619C"/>
    <w:rsid w:val="00AC6CD9"/>
    <w:rsid w:val="00B02778"/>
    <w:rsid w:val="00B05787"/>
    <w:rsid w:val="00B347B2"/>
    <w:rsid w:val="00B42C51"/>
    <w:rsid w:val="00B81354"/>
    <w:rsid w:val="00B84B2A"/>
    <w:rsid w:val="00BE09AC"/>
    <w:rsid w:val="00C03EF1"/>
    <w:rsid w:val="00C102A2"/>
    <w:rsid w:val="00C11544"/>
    <w:rsid w:val="00C20910"/>
    <w:rsid w:val="00C360B4"/>
    <w:rsid w:val="00C37404"/>
    <w:rsid w:val="00C477DE"/>
    <w:rsid w:val="00C552F9"/>
    <w:rsid w:val="00C6588B"/>
    <w:rsid w:val="00C75AA0"/>
    <w:rsid w:val="00C7700E"/>
    <w:rsid w:val="00C82A87"/>
    <w:rsid w:val="00C931A0"/>
    <w:rsid w:val="00CB5294"/>
    <w:rsid w:val="00CE4437"/>
    <w:rsid w:val="00D02C22"/>
    <w:rsid w:val="00D35798"/>
    <w:rsid w:val="00D77B69"/>
    <w:rsid w:val="00D81979"/>
    <w:rsid w:val="00DE626A"/>
    <w:rsid w:val="00DF43A1"/>
    <w:rsid w:val="00E237F0"/>
    <w:rsid w:val="00E33D48"/>
    <w:rsid w:val="00E426EB"/>
    <w:rsid w:val="00E45658"/>
    <w:rsid w:val="00E55DF8"/>
    <w:rsid w:val="00E630BF"/>
    <w:rsid w:val="00E65D8F"/>
    <w:rsid w:val="00E80732"/>
    <w:rsid w:val="00E86C5E"/>
    <w:rsid w:val="00EA2D69"/>
    <w:rsid w:val="00EC2BB4"/>
    <w:rsid w:val="00EE4DCA"/>
    <w:rsid w:val="00F04E90"/>
    <w:rsid w:val="00F124E9"/>
    <w:rsid w:val="00F336AE"/>
    <w:rsid w:val="00F34419"/>
    <w:rsid w:val="00F571DF"/>
    <w:rsid w:val="00F7132F"/>
    <w:rsid w:val="00F77705"/>
    <w:rsid w:val="00F87EB5"/>
    <w:rsid w:val="00F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E35E"/>
  <w15:docId w15:val="{B4D5448A-B3EE-4DE5-A0A3-4365DA24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30B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30BF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7D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3f-my.sharepoint.com/personal/casper_sondergaard_3f_dk/Documents/&#216;konomi/2021/Kontingent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50"/>
      <c:depthPercent val="100"/>
      <c:rAngAx val="0"/>
      <c:perspective val="1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B3C-4380-9607-FE5BD78AB9E0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B3C-4380-9607-FE5BD78AB9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B3C-4380-9607-FE5BD78AB9E0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B3C-4380-9607-FE5BD78AB9E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8B3C-4380-9607-FE5BD78AB9E0}"/>
              </c:ext>
            </c:extLst>
          </c:dPt>
          <c:dLbls>
            <c:dLbl>
              <c:idx val="0"/>
              <c:layout>
                <c:manualLayout>
                  <c:x val="3.3333333333333381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1" i="0" u="none" strike="noStrike" kern="1200" spc="0" baseline="0">
                        <a:solidFill>
                          <a:srgbClr val="4F81BD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="1" i="0" u="none" strike="noStrike" kern="1200" baseline="0">
                        <a:solidFill>
                          <a:sysClr val="windowText" lastClr="000000"/>
                        </a:solidFill>
                      </a:rPr>
                      <a:t>Gruppeliv</a:t>
                    </a:r>
                    <a:r>
                      <a:rPr lang="en-US" sz="1000" b="0" i="0" u="none" strike="noStrike" kern="1200" baseline="0">
                        <a:solidFill>
                          <a:sysClr val="windowText" lastClr="000000"/>
                        </a:solidFill>
                      </a:rPr>
                      <a:t>
32,50 kr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1000" b="1" i="0" u="none" strike="noStrike" kern="1200" spc="0" baseline="0">
                      <a:solidFill>
                        <a:srgbClr val="4F81B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B3C-4380-9607-FE5BD78AB9E0}"/>
                </c:ext>
              </c:extLst>
            </c:dLbl>
            <c:dLbl>
              <c:idx val="1"/>
              <c:layout>
                <c:manualLayout>
                  <c:x val="8.3333333333333332E-3"/>
                  <c:y val="-2.777777777777777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="1" i="0" u="none" strike="noStrike" kern="1200" baseline="0">
                        <a:solidFill>
                          <a:sysClr val="windowText" lastClr="000000"/>
                        </a:solidFill>
                      </a:rPr>
                      <a:t>Forbund og afdeling</a:t>
                    </a:r>
                    <a:r>
                      <a:rPr lang="en-US" sz="1000" b="0" i="0" u="none" strike="noStrike" kern="1200" baseline="0">
                        <a:solidFill>
                          <a:sysClr val="windowText" lastClr="000000"/>
                        </a:solidFill>
                      </a:rPr>
                      <a:t>
425,50 kr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B3C-4380-9607-FE5BD78AB9E0}"/>
                </c:ext>
              </c:extLst>
            </c:dLbl>
            <c:dLbl>
              <c:idx val="2"/>
              <c:layout>
                <c:manualLayout>
                  <c:x val="-2.0370135052831988E-16"/>
                  <c:y val="-0.12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1" i="0" u="none" strike="noStrike" kern="1200" spc="0" baseline="0">
                        <a:solidFill>
                          <a:srgbClr val="9BBB59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="1" i="0" u="none" strike="noStrike" kern="1200" baseline="0">
                        <a:solidFill>
                          <a:sysClr val="windowText" lastClr="000000"/>
                        </a:solidFill>
                      </a:rPr>
                      <a:t>Fritidsulykke</a:t>
                    </a:r>
                    <a:r>
                      <a:rPr lang="en-US" sz="1000" b="0" i="0" u="none" strike="noStrike" kern="1200" baseline="0">
                        <a:solidFill>
                          <a:sysClr val="windowText" lastClr="000000"/>
                        </a:solidFill>
                      </a:rPr>
                      <a:t>
38 kr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1000" b="1" i="0" u="none" strike="noStrike" kern="1200" spc="0" baseline="0">
                      <a:solidFill>
                        <a:srgbClr val="9BBB59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B3C-4380-9607-FE5BD78AB9E0}"/>
                </c:ext>
              </c:extLst>
            </c:dLbl>
            <c:dLbl>
              <c:idx val="3"/>
              <c:layout>
                <c:manualLayout>
                  <c:x val="-5.5555555555555679E-3"/>
                  <c:y val="-9.259259259259258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="1" i="0" u="none" strike="noStrike" kern="1200" spc="0" baseline="0">
                        <a:solidFill>
                          <a:sysClr val="windowText" lastClr="000000"/>
                        </a:solidFill>
                      </a:rPr>
                      <a:t>A-kasse og adm. bidrag A-kasse</a:t>
                    </a:r>
                    <a:r>
                      <a:rPr lang="en-US" sz="1000" b="0" i="0" u="none" strike="noStrike" kern="1200" spc="0" baseline="0">
                        <a:solidFill>
                          <a:sysClr val="windowText" lastClr="000000"/>
                        </a:solidFill>
                      </a:rPr>
                      <a:t>
1.045 kr</a:t>
                    </a:r>
                    <a:endParaRPr lang="en-US" sz="1000" b="1" i="0" u="none" strike="noStrike" kern="1200" spc="0" baseline="0">
                      <a:solidFill>
                        <a:srgbClr val="9BBB59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B3C-4380-9607-FE5BD78AB9E0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a-D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8B3C-4380-9607-FE5BD78AB9E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'Ark1'!$A$7:$E$7</c:f>
              <c:numCache>
                <c:formatCode>#,##0.00</c:formatCode>
                <c:ptCount val="5"/>
                <c:pt idx="0" formatCode="General">
                  <c:v>32.5</c:v>
                </c:pt>
                <c:pt idx="1">
                  <c:v>415.5</c:v>
                </c:pt>
                <c:pt idx="2" formatCode="General">
                  <c:v>38</c:v>
                </c:pt>
                <c:pt idx="3">
                  <c:v>1044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B3C-4380-9607-FE5BD78AB9E0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3F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cs3301</dc:creator>
  <cp:lastModifiedBy>Casper Høy Søndergaard, Skive-egnen</cp:lastModifiedBy>
  <cp:revision>6</cp:revision>
  <cp:lastPrinted>2012-11-08T14:14:00Z</cp:lastPrinted>
  <dcterms:created xsi:type="dcterms:W3CDTF">2020-12-09T09:28:00Z</dcterms:created>
  <dcterms:modified xsi:type="dcterms:W3CDTF">2021-12-06T07:19:00Z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